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F5" w:rsidRPr="00B222F5" w:rsidRDefault="00B222F5" w:rsidP="00B222F5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B222F5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Статья 52.1. Оформление, реализация и возврат билетов, абонементов и экскурсионных путевок на проводимые организациями исполнительских искусств и музеями зрелищные мероприятия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(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введена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Федеральным </w:t>
      </w:r>
      <w:hyperlink r:id="rId4" w:anchor="dst100022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законом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от 18.07.2019 N 193-ФЗ)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238"/>
      <w:bookmarkEnd w:id="0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Уполномоченный федеральный орган исполнительной власти утверждает в установленном порядке формы билета, абонемента и экскурсионной путевки (в том числе формы электронного билета, электронного абонемента и электронной экскурсионной путевки) на проводимые организациями исполнительских искусств и музеями зрелищные мероприятия как бланки строгой отчетности, содержащие реквизиты билета, абонемента и экскурсионной путевки. Организации исполнительских искусств и музеи вправе самостоятельно устанавливать элементы оформления билетов, абонементов и экскурсионных путевок на проводимые ими зрелищные мероприятия.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239"/>
      <w:bookmarkEnd w:id="1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Билеты, абонементы и экскурсионные путевки, формы и реквизиты которых не соответствуют формам и реквизитам, утвержденным уполномоченным федеральным органом исполнительной власти, билеты, абонементы и экскурсионные путевки,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элементы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оформления которых не соответствуют элементам оформления, установленным организациями исполнительских искусств и музеями, билеты, абонементы и экскурсионные путевки, содержащие исправления, поддельные билеты, поддельные абонементы и поддельные экскурсионные путевки являются недействительными, не дают права на посещение проводимых такими организациями исполнительских искусств и музеями зрелищных мероприятий и не принимаются к возврату.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240"/>
      <w:bookmarkEnd w:id="2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Реализация билетов, абонементов и экскурсионных путевок на проводимые организациями исполнительских искусств и музеями зрелищные мероприятия по цене, превышающей цену, указанную в билете, абонементе или экскурсионной путевке, не допускается.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241"/>
      <w:bookmarkEnd w:id="3"/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Реализация билетов,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(или) уполномоченными ими физическими лицами, осуществляющими предпринимательскую деятельность без образования юридического лица (индивидуальными предпринимателями), юридическими лицами на основании договоров, заключенных в соответствии с законодательством Российской Федерации с такими организациями исполнительских искусств и музеями, гражданами на основании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гражданско-правовых договоров, заключенных с такими организациями исполнительских искусств и музеями (далее - уполномоченные лица).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242"/>
      <w:bookmarkEnd w:id="4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билетов, абонементов и экскурсионных путевок </w:t>
      </w:r>
      <w:r w:rsidRPr="00B222F5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 xml:space="preserve">на проводимые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такими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организацией исполнительских искусств и музеем зрелищные мероприятия. Передача прав и обязанностей по указанному договору другому лицу осуществляется в соответствии с гражданским законодательством. При этом уполномоченное лицо несет ответственность за действия другого лица перед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такими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организацией исполнительских искусств и музеем.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243"/>
      <w:bookmarkEnd w:id="5"/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Не допускается реализация иными, не указанными в </w:t>
      </w:r>
      <w:hyperlink r:id="rId5" w:anchor="dst241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частях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четвертой и </w:t>
      </w:r>
      <w:hyperlink r:id="rId6" w:anchor="dst242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пятой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 лицами билетов, абонементов и экскурсионных путевок на проводимые организациями исполнительских искусств и музеями зрелищные мероприятия (за исключением однократной продажи гражданином приобретенных им для использования в личных целях билета, абонемента или экскурсионной путевки по цене, не превышающей цены, указанной в билете, абонементе или экскурсионной путевке).</w:t>
      </w:r>
      <w:proofErr w:type="gramEnd"/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244"/>
      <w:bookmarkEnd w:id="6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Уполномоченное лицо и лицо, указанное в </w:t>
      </w:r>
      <w:hyperlink r:id="rId7" w:anchor="dst242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части пятой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 настоящей статьи, при реализации билетов, абонементов и экскурсионных путевок вправе взимать плату за оказание покупателю сопутствующих услуг, если иное не предусмотрено договором, заключенным организацией исполнительских искусств или музеем с уполномоченным лицом. Факт оказания покупателю билета, абонемента или экскурсионной путевки сопутствующих услуг должен быть оформлен в соответствии с законодательством Российской Федерации с обязательной выдачей покупателю документа, подтверждающего оплату сопутствующих услуг.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Общая стоимость сопутствующих услуг, оказываемых уполномоченным лицом или лицом, указанным в </w:t>
      </w:r>
      <w:hyperlink r:id="rId8" w:anchor="dst242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части пятой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статьи, покупателю билета, абонемента или экскурсионной путевки на проводимые государственными или муниципальными организациями исполнительских искусств и музеями зрелищные мероприятия, должна составлять менее 10 процентов цены, указанной в приобретенных билете, абонементе или экскурсионной путевке.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Общая стоимость сопутствующих услуг, оказываемых уполномоченным лицом или лицом, указанным в </w:t>
      </w:r>
      <w:hyperlink r:id="rId9" w:anchor="dst242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части пятой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статьи, покупателю билета, абонемента или экскурсионной путевки на проводимые иными организациями исполнительских искусств и музеями зрелищные мероприятия, должна составлять менее 10 процентов цены, указанной в приобретенных билете, абонементе или экскурсионной путевке, если иное не предусмотрено договором, заключенным организацией исполнительских искусств или музеем с уполномоченным лицом.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Уполномоченный федеральный орган исполнительной власти утверждает порядок формирования и расчета общей стоимости сопутствующих услуг, оказываемых покупателю билета, абонемента или экскурсионной путевки.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245"/>
      <w:bookmarkEnd w:id="7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Организации исполнительских искусств и музеи вправе реализовывать именные билеты, именные абонементы и именные экскурсионные путевки с учетом требований законодательства Российской Федерации о персональных данных. Именные билеты, именные абонементы и именные экскурсионные путевки дают право на посещение зрелищных мероприятий только при предъявлении документов, удостоверяющих личность </w:t>
      </w:r>
      <w:r w:rsidRPr="00B222F5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посетителей. </w:t>
      </w:r>
      <w:hyperlink r:id="rId10" w:anchor="dst100010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Перечень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соответствующих документов устанавливается уполномоченным федеральным органом исполнительной власти. При несоответствии сведений о посетителе, указанных в именном билете, именном абонементе или именной экскурсионной путевке, сведениям, содержащимся в предъявляемом документе, или при наличии исправлений в сведениях о посетителе, указанных в именном билете, именном абонементе или именной экскурсионной путевке, посетитель не допускается на зрелищное мероприятие.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246"/>
      <w:bookmarkEnd w:id="8"/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В случае отмены,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лицом, у которого был приобретен билет, если договором уполномоченного лица с организацией исполнительских искусств или музеем на данное уполномоченное лицо возложена обязанность по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возмещению полной стоимости билета.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247"/>
      <w:bookmarkEnd w:id="9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В случае отказа посетителя от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посещения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проводимого организацией исполнительских искусств или музеем зрелищного мероприятия в связи с документально подтвержденными обстоятельствами, связанными с болезнью посетителя либо смертью лица, являвшегося членом его семьи или его близким родственником в соответствии с Семейным </w:t>
      </w:r>
      <w:hyperlink r:id="rId11" w:anchor="dst0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кодексом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Российской Федерации, возврат билета посетителем осуществляется в соответствии с правилами и условиями, установленными Правительством Российской Федерации.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248"/>
      <w:bookmarkEnd w:id="10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В случае отказа посетителя от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посещения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проводимого организацией исполнительских искусств или музеем зрелищного мероприятия по причинам, не предусмотренным </w:t>
      </w:r>
      <w:hyperlink r:id="rId12" w:anchor="dst247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частью десятой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статьи, посетитель имеет право при возврате билета, абонемента или экскурсионной путевки: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249"/>
      <w:bookmarkEnd w:id="11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не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позднее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чем за десять дней до дня проведения зрелищного мероприятия получить обратно 100 процентов цены билета, абонемента или экскурсионной путевки;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250"/>
      <w:bookmarkEnd w:id="12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менее чем за десять дней, но не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позднее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чем за пять дней до дня проведения зрелищного мероприятия получить обратно не менее 50 процентов цены билета, абонемента или экскурсионной путевки;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251"/>
      <w:bookmarkEnd w:id="13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менее чем за пять дней, но не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позднее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чем за три дня до дня проведения зрелищного мероприятия получить обратно не менее 30 процентов цены билета, абонемента или экскурсионной путевки.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252"/>
      <w:bookmarkEnd w:id="14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В случае отказа посетителя от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посещения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проводимого организацией исполнительских искусств или музеем зрелищного мероприятия по причинам, не предусмотренным </w:t>
      </w:r>
      <w:hyperlink r:id="rId13" w:anchor="dst247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частью десятой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статьи, менее чем за три дня до дня проведения зрелищного мероприятия организация исполнительских искусств или музей вправе не возвращать посетителю стоимость билета, абонемента или экскурсионной путевки.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253"/>
      <w:bookmarkEnd w:id="15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Для абонементов на проводимые организацией исполнительских искусств или музеем зрелищные мероприятия днем проведения зрелищного мероприятия является день проведения первого предусмотренного абонементом зрелищного мероприятия.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254"/>
      <w:bookmarkEnd w:id="16"/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Билеты, абонементы и экскурсионные путевки (за исключением именных билетов, именных абонементов и именных экскурсионных путевок), реализованные организацией исполнительских искусств и музеем в рамках специальных программ и акций, предусматривающих особые условия приобретения билетов, абонементов и экскурсионных путевок (в том числе льготы, скидки), по решению таких организации исполнительских искусств и музея могут не приниматься к возврату.</w:t>
      </w:r>
      <w:proofErr w:type="gramEnd"/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255"/>
      <w:bookmarkEnd w:id="17"/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Организация исполнительских искусств или музей при возврате посетителем билета,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билета, абонемента или экскурсионной путевки.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Возврат посетителю стоимости билета, абонемента или экскурсионной путевки осуществляется организацией исполнительских искусств или музеем либо уполномоченным лицом, у которого были приобретены билет, абонемент или экскурсионная путевка,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стоимости билета, абонемента или экскурсионной путевки.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256"/>
      <w:bookmarkEnd w:id="18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Организация исполнительских искусств и музей не осуществляют возврат денежных средств, уплаченных </w:t>
      </w:r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посетителем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указанным в </w:t>
      </w:r>
      <w:hyperlink r:id="rId14" w:anchor="dst241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частях четвертой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и </w:t>
      </w:r>
      <w:hyperlink r:id="rId15" w:anchor="dst242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пятой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 лицам сверх установленной такими организацией исполнительских искусств и музеем цены билета, абонемента или экскурсионной путевки, в том числе именного билета, именного абонемента или именной экскурсионной путевки.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257"/>
      <w:bookmarkEnd w:id="19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Правила и условия возврата билетов, абонементов и экскурсионных путевок и переоформления на других лиц именных билетов,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посетителей от посещения зрелищных мероприятий утверждаются Правительством Российской Федерации.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258"/>
      <w:bookmarkEnd w:id="20"/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Организации исполнительских искусств и музеи в соответствии с правилами и условиями, установленными Правительством Российской Федерации, утверждают порядок возврата билетов, абонементов и экскурсионных путевок и переоформления на других лиц (с указанием должностных лиц, осуществляющих такое переоформление) именных билетов, именных абонементов и именных экскурсионных путевок на проводимые ими зрелищные мероприятия в случае отказа посетителей от посещения зрелищных мероприятий.</w:t>
      </w:r>
      <w:proofErr w:type="gramEnd"/>
    </w:p>
    <w:p w:rsidR="00B222F5" w:rsidRPr="00B222F5" w:rsidRDefault="00B222F5" w:rsidP="00B222F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373"/>
      <w:bookmarkEnd w:id="21"/>
      <w:proofErr w:type="gramStart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Правительство Российской Федерации вправе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установить </w:t>
      </w:r>
      <w:hyperlink r:id="rId16" w:anchor="dst100008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особенности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отмены, замены либо переноса проводимого организацией исполнительских искусств или музеем зрелищного мероприятия, в том числе в части порядка и сроков возмещения стоимости билетов, абонементов и экскурсионных путевок на проводимые</w:t>
      </w:r>
      <w:proofErr w:type="gramEnd"/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 xml:space="preserve"> организациями исполнительских искусств или музеями зрелищные мероприятия.</w:t>
      </w:r>
    </w:p>
    <w:p w:rsidR="00B222F5" w:rsidRPr="00B222F5" w:rsidRDefault="00B222F5" w:rsidP="00B222F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(часть девятнадцатая введена Федеральным </w:t>
      </w:r>
      <w:hyperlink r:id="rId17" w:anchor="dst100009" w:history="1">
        <w:r w:rsidRPr="00B222F5">
          <w:rPr>
            <w:rFonts w:ascii="Arial" w:eastAsia="Times New Roman" w:hAnsi="Arial" w:cs="Arial"/>
            <w:color w:val="666699"/>
            <w:sz w:val="26"/>
            <w:lang w:eastAsia="ru-RU"/>
          </w:rPr>
          <w:t>законом</w:t>
        </w:r>
      </w:hyperlink>
      <w:r w:rsidRPr="00B222F5">
        <w:rPr>
          <w:rFonts w:ascii="Arial" w:eastAsia="Times New Roman" w:hAnsi="Arial" w:cs="Arial"/>
          <w:color w:val="000000"/>
          <w:sz w:val="26"/>
          <w:lang w:eastAsia="ru-RU"/>
        </w:rPr>
        <w:t> от 01.04.2020 N 98-ФЗ)</w:t>
      </w:r>
    </w:p>
    <w:p w:rsidR="00CD115F" w:rsidRDefault="00CD115F"/>
    <w:sectPr w:rsidR="00CD115F" w:rsidSect="00B222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2F5"/>
    <w:rsid w:val="00B222F5"/>
    <w:rsid w:val="00CD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5F"/>
  </w:style>
  <w:style w:type="paragraph" w:styleId="1">
    <w:name w:val="heading 1"/>
    <w:basedOn w:val="a"/>
    <w:link w:val="10"/>
    <w:uiPriority w:val="9"/>
    <w:qFormat/>
    <w:rsid w:val="00B22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222F5"/>
  </w:style>
  <w:style w:type="character" w:customStyle="1" w:styleId="hl">
    <w:name w:val="hl"/>
    <w:basedOn w:val="a0"/>
    <w:rsid w:val="00B222F5"/>
  </w:style>
  <w:style w:type="character" w:styleId="a3">
    <w:name w:val="Hyperlink"/>
    <w:basedOn w:val="a0"/>
    <w:uiPriority w:val="99"/>
    <w:semiHidden/>
    <w:unhideWhenUsed/>
    <w:rsid w:val="00B222F5"/>
    <w:rPr>
      <w:color w:val="0000FF"/>
      <w:u w:val="single"/>
    </w:rPr>
  </w:style>
  <w:style w:type="character" w:customStyle="1" w:styleId="nobr">
    <w:name w:val="nobr"/>
    <w:basedOn w:val="a0"/>
    <w:rsid w:val="00B22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14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9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5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2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8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6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1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5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9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8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9153/2d566aa672f243d0cf004fcf559cd00eb76badf3/" TargetMode="External"/><Relationship Id="rId13" Type="http://schemas.openxmlformats.org/officeDocument/2006/relationships/hyperlink" Target="http://www.consultant.ru/document/cons_doc_LAW_349153/2d566aa672f243d0cf004fcf559cd00eb76badf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9153/2d566aa672f243d0cf004fcf559cd00eb76badf3/" TargetMode="External"/><Relationship Id="rId12" Type="http://schemas.openxmlformats.org/officeDocument/2006/relationships/hyperlink" Target="http://www.consultant.ru/document/cons_doc_LAW_349153/2d566aa672f243d0cf004fcf559cd00eb76badf3/" TargetMode="External"/><Relationship Id="rId17" Type="http://schemas.openxmlformats.org/officeDocument/2006/relationships/hyperlink" Target="http://www.consultant.ru/document/cons_doc_LAW_354580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60283/b2c2c6f9a59bdd9b1582a5a9811b1339697839f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9153/2d566aa672f243d0cf004fcf559cd00eb76badf3/" TargetMode="External"/><Relationship Id="rId11" Type="http://schemas.openxmlformats.org/officeDocument/2006/relationships/hyperlink" Target="http://www.consultant.ru/document/cons_doc_LAW_344845/" TargetMode="External"/><Relationship Id="rId5" Type="http://schemas.openxmlformats.org/officeDocument/2006/relationships/hyperlink" Target="http://www.consultant.ru/document/cons_doc_LAW_349153/2d566aa672f243d0cf004fcf559cd00eb76badf3/" TargetMode="External"/><Relationship Id="rId15" Type="http://schemas.openxmlformats.org/officeDocument/2006/relationships/hyperlink" Target="http://www.consultant.ru/document/cons_doc_LAW_349153/2d566aa672f243d0cf004fcf559cd00eb76badf3/" TargetMode="External"/><Relationship Id="rId10" Type="http://schemas.openxmlformats.org/officeDocument/2006/relationships/hyperlink" Target="http://www.consultant.ru/document/cons_doc_LAW_339667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/document/cons_doc_LAW_329296/3d0cac60971a511280cbba229d9b6329c07731f7/" TargetMode="External"/><Relationship Id="rId9" Type="http://schemas.openxmlformats.org/officeDocument/2006/relationships/hyperlink" Target="http://www.consultant.ru/document/cons_doc_LAW_349153/2d566aa672f243d0cf004fcf559cd00eb76badf3/" TargetMode="External"/><Relationship Id="rId14" Type="http://schemas.openxmlformats.org/officeDocument/2006/relationships/hyperlink" Target="http://www.consultant.ru/document/cons_doc_LAW_349153/2d566aa672f243d0cf004fcf559cd00eb76bad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1998</Words>
  <Characters>11393</Characters>
  <Application>Microsoft Office Word</Application>
  <DocSecurity>0</DocSecurity>
  <Lines>94</Lines>
  <Paragraphs>26</Paragraphs>
  <ScaleCrop>false</ScaleCrop>
  <Company>Krokoz™</Company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2020-08-28T12:10:00Z</dcterms:created>
  <dcterms:modified xsi:type="dcterms:W3CDTF">2020-08-28T12:17:00Z</dcterms:modified>
</cp:coreProperties>
</file>